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u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u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9E212D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u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9E212D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8530DE" w:rsidRDefault="009E212D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2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8530DE" w:rsidRDefault="009E212D" w:rsidP="00B81BF7">
            <w:pPr>
              <w:pStyle w:val="Titlu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Strength of Materials 2</w:t>
            </w:r>
          </w:p>
        </w:tc>
        <w:tc>
          <w:tcPr>
            <w:tcW w:w="1984" w:type="dxa"/>
            <w:gridSpan w:val="3"/>
            <w:vAlign w:val="center"/>
          </w:tcPr>
          <w:p w:rsidR="009E212D" w:rsidRPr="008530DE" w:rsidRDefault="009E212D" w:rsidP="00B81BF7">
            <w:pPr>
              <w:pStyle w:val="Titlu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9E212D" w:rsidRPr="004F6A8A" w:rsidRDefault="009E212D" w:rsidP="00E95696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4F6A8A">
              <w:rPr>
                <w:rFonts w:ascii="Arial" w:hAnsi="Arial" w:cs="Arial"/>
                <w:bCs/>
                <w:sz w:val="20"/>
              </w:rPr>
              <w:t>MTC.207. DI. DID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B81BF7" w:rsidRPr="008530DE" w:rsidRDefault="009E212D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DID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Titlu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B81BF7" w:rsidRPr="008530DE" w:rsidRDefault="009E212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9E212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9E212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9E212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9E212D" w:rsidRDefault="009E212D" w:rsidP="00B81BF7">
            <w:pPr>
              <w:rPr>
                <w:rFonts w:ascii="Arial" w:hAnsi="Arial" w:cs="Arial"/>
              </w:rPr>
            </w:pPr>
            <w:r w:rsidRPr="009E212D">
              <w:rPr>
                <w:rFonts w:ascii="Arial" w:hAnsi="Arial" w:cs="Arial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9E212D" w:rsidRDefault="009E212D" w:rsidP="00B81BF7">
            <w:pPr>
              <w:rPr>
                <w:rFonts w:ascii="Arial" w:hAnsi="Arial" w:cs="Arial"/>
              </w:rPr>
            </w:pPr>
            <w:r w:rsidRPr="009E212D">
              <w:rPr>
                <w:rFonts w:ascii="Arial" w:hAnsi="Arial" w:cs="Arial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9E212D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8530DE" w:rsidRDefault="009E212D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8530DE" w:rsidRDefault="009E212D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4F6A8A">
              <w:rPr>
                <w:rFonts w:ascii="Arial" w:hAnsi="Arial" w:cs="Arial"/>
                <w:lang w:val="ro-RO"/>
              </w:rPr>
              <w:t>Toate specializările (trunchi comun)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9E4F20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E4F20">
              <w:rPr>
                <w:rFonts w:ascii="Arial" w:hAnsi="Arial" w:cs="Arial"/>
                <w:sz w:val="22"/>
                <w:szCs w:val="22"/>
                <w:lang w:val="ro-RO"/>
              </w:rPr>
              <w:t>112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4F6A8A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4F6A8A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4F6A8A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F6A8A"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FC5C52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212D" w:rsidRPr="009E4F20" w:rsidRDefault="009E212D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E4F20">
              <w:rPr>
                <w:rFonts w:ascii="Arial" w:hAnsi="Arial" w:cs="Arial"/>
                <w:sz w:val="22"/>
                <w:szCs w:val="22"/>
                <w:lang w:val="ro-RO"/>
              </w:rPr>
              <w:t>42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6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9E212D" w:rsidP="009E21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9E212D" w:rsidRDefault="009E212D" w:rsidP="009E212D">
            <w:pPr>
              <w:rPr>
                <w:rFonts w:ascii="Arial" w:hAnsi="Arial" w:cs="Arial"/>
              </w:rPr>
            </w:pPr>
            <w:r w:rsidRPr="009E212D">
              <w:rPr>
                <w:rFonts w:ascii="Arial" w:hAnsi="Arial" w:cs="Arial"/>
              </w:rPr>
              <w:t xml:space="preserve">Mathematical Analysis, Mechanics, </w:t>
            </w:r>
            <w:r w:rsidRPr="009E212D">
              <w:rPr>
                <w:rStyle w:val="hps"/>
                <w:rFonts w:ascii="Arial" w:hAnsi="Arial" w:cs="Arial"/>
                <w:lang/>
              </w:rPr>
              <w:t>Materials Science, Strength of Materials 1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9E212D" w:rsidRDefault="009E212D" w:rsidP="002F6FB3">
            <w:pPr>
              <w:tabs>
                <w:tab w:val="num" w:pos="368"/>
              </w:tabs>
              <w:jc w:val="both"/>
              <w:rPr>
                <w:rFonts w:ascii="Arial" w:hAnsi="Arial" w:cs="Arial"/>
              </w:rPr>
            </w:pPr>
            <w:r w:rsidRPr="009E212D">
              <w:rPr>
                <w:rFonts w:ascii="Arial" w:hAnsi="Arial" w:cs="Arial"/>
              </w:rPr>
              <w:t xml:space="preserve">Strength of Materials 2 </w:t>
            </w:r>
            <w:r w:rsidRPr="009E212D">
              <w:rPr>
                <w:rStyle w:val="hps"/>
                <w:rFonts w:ascii="Arial" w:hAnsi="Arial" w:cs="Arial"/>
                <w:lang/>
              </w:rPr>
              <w:t>complements the</w:t>
            </w:r>
            <w:r w:rsidRPr="009E212D">
              <w:rPr>
                <w:rFonts w:ascii="Arial" w:hAnsi="Arial" w:cs="Arial"/>
                <w:lang/>
              </w:rPr>
              <w:t xml:space="preserve"> </w:t>
            </w:r>
            <w:r w:rsidRPr="009E212D">
              <w:rPr>
                <w:rStyle w:val="hps"/>
                <w:rFonts w:ascii="Arial" w:hAnsi="Arial" w:cs="Arial"/>
                <w:lang/>
              </w:rPr>
              <w:t>knowledge transmitted</w:t>
            </w:r>
            <w:r w:rsidRPr="009E212D">
              <w:rPr>
                <w:rFonts w:ascii="Arial" w:hAnsi="Arial" w:cs="Arial"/>
                <w:lang/>
              </w:rPr>
              <w:t xml:space="preserve"> </w:t>
            </w:r>
            <w:r w:rsidRPr="009E212D">
              <w:rPr>
                <w:rStyle w:val="hps"/>
                <w:rFonts w:ascii="Arial" w:hAnsi="Arial" w:cs="Arial"/>
                <w:lang/>
              </w:rPr>
              <w:t>to</w:t>
            </w:r>
            <w:r w:rsidRPr="009E212D">
              <w:rPr>
                <w:rFonts w:ascii="Arial" w:hAnsi="Arial" w:cs="Arial"/>
                <w:lang/>
              </w:rPr>
              <w:t xml:space="preserve"> </w:t>
            </w:r>
            <w:r w:rsidRPr="009E212D">
              <w:rPr>
                <w:rStyle w:val="hps"/>
                <w:rFonts w:ascii="Arial" w:hAnsi="Arial" w:cs="Arial"/>
                <w:lang/>
              </w:rPr>
              <w:t xml:space="preserve">students by discipline Strength of Materials 1. </w:t>
            </w:r>
            <w:r w:rsidR="002F6FB3" w:rsidRPr="002F6FB3">
              <w:rPr>
                <w:rStyle w:val="hps"/>
                <w:rFonts w:ascii="Arial" w:hAnsi="Arial" w:cs="Arial"/>
                <w:lang/>
              </w:rPr>
              <w:t>In preparatory chapter the fundamental concepts of theory of elasticity (which are needed in the coming years for disciplines Finite Element Analysis, Machine Design etc.) are presented.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091994" w:rsidRDefault="00091994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091994">
              <w:rPr>
                <w:rStyle w:val="hps"/>
                <w:rFonts w:ascii="Arial" w:hAnsi="Arial" w:cs="Arial"/>
                <w:lang/>
              </w:rPr>
              <w:t>Learning the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fundamental notions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of the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theory of elasticity;</w:t>
            </w:r>
          </w:p>
          <w:p w:rsidR="00B81BF7" w:rsidRPr="00091994" w:rsidRDefault="00091994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Style w:val="hps"/>
                <w:rFonts w:ascii="Arial" w:hAnsi="Arial" w:cs="Arial"/>
              </w:rPr>
            </w:pPr>
            <w:r w:rsidRPr="00091994">
              <w:rPr>
                <w:rStyle w:val="hps"/>
                <w:rFonts w:ascii="Arial" w:hAnsi="Arial" w:cs="Arial"/>
                <w:lang/>
              </w:rPr>
              <w:t>Learning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the</w:t>
            </w:r>
            <w:r w:rsidRPr="00091994">
              <w:rPr>
                <w:rFonts w:ascii="Arial" w:hAnsi="Arial" w:cs="Arial"/>
                <w:lang/>
              </w:rPr>
              <w:t xml:space="preserve"> failure </w:t>
            </w:r>
            <w:r w:rsidRPr="00091994">
              <w:rPr>
                <w:rStyle w:val="hps"/>
                <w:rFonts w:ascii="Arial" w:hAnsi="Arial" w:cs="Arial"/>
                <w:lang/>
              </w:rPr>
              <w:t>theories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used for compound state of stress;</w:t>
            </w:r>
          </w:p>
          <w:p w:rsidR="00091994" w:rsidRPr="00091994" w:rsidRDefault="00091994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091994">
              <w:rPr>
                <w:rFonts w:ascii="Arial" w:hAnsi="Arial" w:cs="Arial"/>
              </w:rPr>
              <w:t>Solving the static and hyperstatic systems (frames, curved bars);</w:t>
            </w:r>
          </w:p>
          <w:p w:rsidR="00B81BF7" w:rsidRPr="00091994" w:rsidRDefault="00091994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091994">
              <w:rPr>
                <w:rFonts w:ascii="Arial" w:hAnsi="Arial" w:cs="Arial"/>
              </w:rPr>
              <w:t>Calculation of straight bars of non-circular section, subjected to torsion;</w:t>
            </w:r>
          </w:p>
          <w:p w:rsidR="00091994" w:rsidRPr="00091994" w:rsidRDefault="00091994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091994">
              <w:rPr>
                <w:rStyle w:val="hps"/>
                <w:rFonts w:ascii="Arial" w:hAnsi="Arial" w:cs="Arial"/>
                <w:lang/>
              </w:rPr>
              <w:t>Calculation of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bodies of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revolution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(</w:t>
            </w:r>
            <w:r w:rsidRPr="00091994">
              <w:rPr>
                <w:rStyle w:val="alt-edited"/>
                <w:rFonts w:ascii="Arial" w:hAnsi="Arial" w:cs="Arial"/>
                <w:lang/>
              </w:rPr>
              <w:t>vessels</w:t>
            </w:r>
            <w:r w:rsidRPr="00091994">
              <w:rPr>
                <w:rFonts w:ascii="Arial" w:hAnsi="Arial" w:cs="Arial"/>
                <w:lang/>
              </w:rPr>
              <w:t>, tubes, discs);</w:t>
            </w:r>
          </w:p>
          <w:p w:rsidR="00B81BF7" w:rsidRPr="00091994" w:rsidRDefault="00091994" w:rsidP="00091994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091994">
              <w:rPr>
                <w:rStyle w:val="hps"/>
                <w:rFonts w:ascii="Arial" w:hAnsi="Arial" w:cs="Arial"/>
                <w:lang/>
              </w:rPr>
              <w:t>Conventional</w:t>
            </w:r>
            <w:r w:rsidRPr="00091994">
              <w:rPr>
                <w:rFonts w:ascii="Arial" w:hAnsi="Arial" w:cs="Arial"/>
                <w:lang/>
              </w:rPr>
              <w:t xml:space="preserve"> c</w:t>
            </w:r>
            <w:r w:rsidRPr="00091994">
              <w:rPr>
                <w:rStyle w:val="hps"/>
                <w:rFonts w:ascii="Arial" w:hAnsi="Arial" w:cs="Arial"/>
                <w:lang/>
              </w:rPr>
              <w:t>alculation of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beams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loaded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by</w:t>
            </w:r>
            <w:r w:rsidRPr="00091994">
              <w:rPr>
                <w:rFonts w:ascii="Arial" w:hAnsi="Arial" w:cs="Arial"/>
                <w:lang/>
              </w:rPr>
              <w:t xml:space="preserve"> </w:t>
            </w:r>
            <w:r w:rsidRPr="00091994">
              <w:rPr>
                <w:rStyle w:val="hps"/>
                <w:rFonts w:ascii="Arial" w:hAnsi="Arial" w:cs="Arial"/>
                <w:lang/>
              </w:rPr>
              <w:t>shock</w:t>
            </w:r>
            <w:r w:rsidRPr="00091994">
              <w:rPr>
                <w:rFonts w:ascii="Arial" w:hAnsi="Arial" w:cs="Arial"/>
                <w:lang/>
              </w:rPr>
              <w:t>.</w:t>
            </w:r>
          </w:p>
        </w:tc>
      </w:tr>
      <w:tr w:rsidR="00B81BF7" w:rsidRPr="008530DE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653629" w:rsidRDefault="00091994" w:rsidP="00653629">
            <w:pPr>
              <w:ind w:left="8"/>
              <w:rPr>
                <w:rFonts w:ascii="Arial" w:hAnsi="Arial" w:cs="Arial"/>
                <w:sz w:val="22"/>
                <w:szCs w:val="22"/>
              </w:rPr>
            </w:pPr>
            <w:r w:rsidRPr="00653629">
              <w:rPr>
                <w:rStyle w:val="hps"/>
                <w:rFonts w:ascii="Arial" w:hAnsi="Arial" w:cs="Arial"/>
                <w:lang/>
              </w:rPr>
              <w:t>Elements of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theory of elasticity</w:t>
            </w:r>
            <w:r w:rsidRPr="00653629">
              <w:rPr>
                <w:rFonts w:ascii="Arial" w:hAnsi="Arial" w:cs="Arial"/>
                <w:lang/>
              </w:rPr>
              <w:t xml:space="preserve">; </w:t>
            </w:r>
            <w:r w:rsidRPr="00653629">
              <w:rPr>
                <w:rStyle w:val="hps"/>
                <w:rFonts w:ascii="Arial" w:hAnsi="Arial" w:cs="Arial"/>
                <w:lang/>
              </w:rPr>
              <w:t>The potential energy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of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deformation</w:t>
            </w:r>
            <w:r w:rsidRPr="00653629">
              <w:rPr>
                <w:rFonts w:ascii="Arial" w:hAnsi="Arial" w:cs="Arial"/>
                <w:lang/>
              </w:rPr>
              <w:t xml:space="preserve">; Failure theories; Calculus for compound state of stress; </w:t>
            </w:r>
            <w:r w:rsidR="00653629" w:rsidRPr="00653629">
              <w:rPr>
                <w:rFonts w:ascii="Arial" w:hAnsi="Arial" w:cs="Arial"/>
                <w:lang/>
              </w:rPr>
              <w:t xml:space="preserve">Frames; </w:t>
            </w:r>
            <w:r w:rsidR="00626E29" w:rsidRPr="00653629">
              <w:rPr>
                <w:rFonts w:ascii="Arial" w:hAnsi="Arial" w:cs="Arial"/>
                <w:lang/>
              </w:rPr>
              <w:t>Curved</w:t>
            </w:r>
            <w:r w:rsidR="00653629" w:rsidRPr="00653629">
              <w:rPr>
                <w:rFonts w:ascii="Arial" w:hAnsi="Arial" w:cs="Arial"/>
                <w:lang/>
              </w:rPr>
              <w:t xml:space="preserve"> bars; </w:t>
            </w:r>
            <w:r w:rsidRPr="00653629">
              <w:rPr>
                <w:rFonts w:ascii="Arial" w:hAnsi="Arial" w:cs="Arial"/>
                <w:lang/>
              </w:rPr>
              <w:t>S</w:t>
            </w:r>
            <w:r w:rsidRPr="00653629">
              <w:rPr>
                <w:rFonts w:ascii="Arial" w:hAnsi="Arial" w:cs="Arial"/>
              </w:rPr>
              <w:t xml:space="preserve">traight bars of non-circular section, subjected to torsion;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Thin-walled</w:t>
            </w:r>
            <w:r w:rsidR="00653629" w:rsidRPr="00653629">
              <w:rPr>
                <w:rStyle w:val="shorttext"/>
                <w:rFonts w:ascii="Arial" w:hAnsi="Arial" w:cs="Arial"/>
                <w:lang/>
              </w:rPr>
              <w:t xml:space="preserve">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vessels; Thick-walled</w:t>
            </w:r>
            <w:r w:rsidR="00653629" w:rsidRPr="00653629">
              <w:rPr>
                <w:rStyle w:val="shorttext"/>
                <w:rFonts w:ascii="Arial" w:hAnsi="Arial" w:cs="Arial"/>
                <w:lang/>
              </w:rPr>
              <w:t xml:space="preserve">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tubes; Spinning discs; beams</w:t>
            </w:r>
            <w:r w:rsidR="00653629" w:rsidRPr="00653629">
              <w:rPr>
                <w:rFonts w:ascii="Arial" w:hAnsi="Arial" w:cs="Arial"/>
                <w:lang/>
              </w:rPr>
              <w:t xml:space="preserve">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loaded</w:t>
            </w:r>
            <w:r w:rsidR="00653629" w:rsidRPr="00653629">
              <w:rPr>
                <w:rFonts w:ascii="Arial" w:hAnsi="Arial" w:cs="Arial"/>
                <w:lang/>
              </w:rPr>
              <w:t xml:space="preserve">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by</w:t>
            </w:r>
            <w:r w:rsidR="00653629" w:rsidRPr="00653629">
              <w:rPr>
                <w:rFonts w:ascii="Arial" w:hAnsi="Arial" w:cs="Arial"/>
                <w:lang/>
              </w:rPr>
              <w:t xml:space="preserve"> </w:t>
            </w:r>
            <w:r w:rsidR="00653629" w:rsidRPr="00653629">
              <w:rPr>
                <w:rStyle w:val="hps"/>
                <w:rFonts w:ascii="Arial" w:hAnsi="Arial" w:cs="Arial"/>
                <w:lang/>
              </w:rPr>
              <w:t>shock.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2F6FB3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2F6FB3" w:rsidRPr="008530DE" w:rsidRDefault="002F6FB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2F6FB3" w:rsidRPr="008530DE" w:rsidRDefault="002F6FB3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F6FB3" w:rsidRPr="002F6FB3" w:rsidRDefault="002F6FB3" w:rsidP="00B81BF7">
            <w:pPr>
              <w:jc w:val="center"/>
              <w:rPr>
                <w:rFonts w:ascii="Arial" w:hAnsi="Arial" w:cs="Arial"/>
              </w:rPr>
            </w:pPr>
            <w:r w:rsidRPr="002F6FB3">
              <w:rPr>
                <w:rFonts w:ascii="Arial" w:hAnsi="Arial" w:cs="Arial"/>
              </w:rPr>
              <w:t>Week 5 &amp; 11</w:t>
            </w:r>
          </w:p>
        </w:tc>
        <w:tc>
          <w:tcPr>
            <w:tcW w:w="2551" w:type="dxa"/>
            <w:vAlign w:val="center"/>
          </w:tcPr>
          <w:p w:rsidR="002F6FB3" w:rsidRPr="00462438" w:rsidRDefault="002F6FB3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>10 %</w:t>
            </w:r>
          </w:p>
        </w:tc>
      </w:tr>
      <w:tr w:rsidR="002F6FB3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2F6FB3" w:rsidRPr="008530DE" w:rsidRDefault="002F6FB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2F6FB3" w:rsidRPr="008530DE" w:rsidRDefault="002F6FB3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2F6FB3" w:rsidRPr="002F6FB3" w:rsidRDefault="002F6FB3" w:rsidP="00B81BF7">
            <w:pPr>
              <w:jc w:val="center"/>
              <w:rPr>
                <w:rFonts w:ascii="Arial" w:hAnsi="Arial" w:cs="Arial"/>
              </w:rPr>
            </w:pPr>
            <w:r w:rsidRPr="002F6FB3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2F6FB3" w:rsidRPr="00462438" w:rsidRDefault="002F6FB3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>30 %</w:t>
            </w:r>
          </w:p>
        </w:tc>
      </w:tr>
      <w:tr w:rsidR="002F6FB3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2F6FB3" w:rsidRPr="008530DE" w:rsidRDefault="002F6FB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2F6FB3" w:rsidRPr="008530DE" w:rsidRDefault="002F6FB3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2F6FB3" w:rsidRPr="002F6FB3" w:rsidRDefault="002F6FB3" w:rsidP="00E95696">
            <w:pPr>
              <w:jc w:val="center"/>
              <w:rPr>
                <w:rFonts w:ascii="Arial" w:hAnsi="Arial" w:cs="Arial"/>
              </w:rPr>
            </w:pPr>
            <w:r w:rsidRPr="002F6FB3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2F6FB3" w:rsidRPr="00462438" w:rsidRDefault="002F6FB3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462438">
              <w:rPr>
                <w:rFonts w:ascii="Arial" w:hAnsi="Arial" w:cs="Arial"/>
                <w:lang w:val="ro-RO"/>
              </w:rPr>
              <w:t>10 %</w:t>
            </w:r>
          </w:p>
        </w:tc>
      </w:tr>
      <w:tr w:rsidR="002F6FB3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2F6FB3" w:rsidRPr="008530DE" w:rsidRDefault="002F6FB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2F6FB3" w:rsidRPr="008530DE" w:rsidRDefault="002F6FB3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2F6FB3" w:rsidRPr="007F6B98" w:rsidRDefault="002F6FB3" w:rsidP="00E95696">
            <w:pPr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Exam</w:t>
            </w:r>
          </w:p>
        </w:tc>
        <w:tc>
          <w:tcPr>
            <w:tcW w:w="1418" w:type="dxa"/>
            <w:vAlign w:val="center"/>
          </w:tcPr>
          <w:p w:rsidR="002F6FB3" w:rsidRPr="007F6B98" w:rsidRDefault="002F6FB3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7F6B98">
              <w:rPr>
                <w:rStyle w:val="hps"/>
                <w:rFonts w:ascii="Arial" w:hAnsi="Arial" w:cs="Arial"/>
              </w:rPr>
              <w:t>Exam session</w:t>
            </w:r>
          </w:p>
        </w:tc>
        <w:tc>
          <w:tcPr>
            <w:tcW w:w="2551" w:type="dxa"/>
            <w:vMerge w:val="restart"/>
            <w:vAlign w:val="center"/>
          </w:tcPr>
          <w:p w:rsidR="002F6FB3" w:rsidRPr="002F6FB3" w:rsidRDefault="002F6FB3" w:rsidP="00B81BF7">
            <w:pPr>
              <w:jc w:val="center"/>
              <w:rPr>
                <w:rFonts w:ascii="Arial" w:hAnsi="Arial" w:cs="Arial"/>
              </w:rPr>
            </w:pPr>
            <w:r w:rsidRPr="002F6FB3">
              <w:rPr>
                <w:rFonts w:ascii="Arial" w:hAnsi="Arial" w:cs="Arial"/>
              </w:rPr>
              <w:t>50%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53629" w:rsidRDefault="00653629" w:rsidP="00653629">
            <w:pPr>
              <w:jc w:val="both"/>
              <w:rPr>
                <w:rFonts w:ascii="Arial" w:hAnsi="Arial" w:cs="Arial"/>
                <w:lang/>
              </w:rPr>
            </w:pPr>
            <w:r w:rsidRPr="00653629">
              <w:rPr>
                <w:rStyle w:val="hps"/>
                <w:rFonts w:ascii="Arial" w:hAnsi="Arial" w:cs="Arial"/>
                <w:lang/>
              </w:rPr>
              <w:t>Written examination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over a period of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three hours;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4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issues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(</w:t>
            </w:r>
            <w:r w:rsidRPr="00653629">
              <w:rPr>
                <w:rFonts w:ascii="Arial" w:hAnsi="Arial" w:cs="Arial"/>
                <w:lang/>
              </w:rPr>
              <w:t xml:space="preserve">three </w:t>
            </w:r>
            <w:r w:rsidRPr="00653629">
              <w:rPr>
                <w:rStyle w:val="hps"/>
                <w:rFonts w:ascii="Arial" w:hAnsi="Arial" w:cs="Arial"/>
                <w:lang/>
              </w:rPr>
              <w:t>issues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and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theoretical</w:t>
            </w:r>
            <w:r w:rsidRPr="00653629">
              <w:rPr>
                <w:rFonts w:ascii="Arial" w:hAnsi="Arial" w:cs="Arial"/>
                <w:lang/>
              </w:rPr>
              <w:t xml:space="preserve"> </w:t>
            </w:r>
            <w:r w:rsidRPr="00653629">
              <w:rPr>
                <w:rStyle w:val="hps"/>
                <w:rFonts w:ascii="Arial" w:hAnsi="Arial" w:cs="Arial"/>
                <w:lang/>
              </w:rPr>
              <w:t>topic</w:t>
            </w:r>
            <w:r w:rsidRPr="00653629">
              <w:rPr>
                <w:rFonts w:ascii="Arial" w:hAnsi="Arial" w:cs="Arial"/>
                <w:lang/>
              </w:rPr>
              <w:t>):</w:t>
            </w:r>
          </w:p>
          <w:p w:rsidR="0073433E" w:rsidRPr="00626E29" w:rsidRDefault="0073433E" w:rsidP="00626E29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626E29">
              <w:rPr>
                <w:rFonts w:ascii="Arial" w:hAnsi="Arial" w:cs="Arial"/>
              </w:rPr>
              <w:t xml:space="preserve">Compound state of stress (problem); working conditions: </w:t>
            </w:r>
            <w:r w:rsidR="00626E29" w:rsidRPr="00626E29">
              <w:rPr>
                <w:rFonts w:ascii="Arial" w:hAnsi="Arial" w:cs="Arial"/>
              </w:rPr>
              <w:t>mixed; percent of the final grade 25 %;</w:t>
            </w:r>
          </w:p>
          <w:p w:rsidR="00587166" w:rsidRPr="00626E29" w:rsidRDefault="00626E29" w:rsidP="00587166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Frames or curved bar (problem); </w:t>
            </w:r>
            <w:r w:rsidR="00587166" w:rsidRPr="00626E29">
              <w:rPr>
                <w:rFonts w:ascii="Arial" w:hAnsi="Arial" w:cs="Arial"/>
              </w:rPr>
              <w:t>working conditions: mixed; percent of the final grade 25 %;</w:t>
            </w:r>
          </w:p>
          <w:p w:rsidR="00587166" w:rsidRPr="00626E29" w:rsidRDefault="00587166" w:rsidP="00587166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Style w:val="hps"/>
                <w:lang/>
              </w:rPr>
              <w:t>Vessels</w:t>
            </w:r>
            <w:r>
              <w:rPr>
                <w:rStyle w:val="shorttext"/>
                <w:lang/>
              </w:rPr>
              <w:t xml:space="preserve">, tubes, </w:t>
            </w:r>
            <w:r>
              <w:rPr>
                <w:rStyle w:val="alt-edited"/>
                <w:lang/>
              </w:rPr>
              <w:t>discs</w:t>
            </w:r>
            <w:r>
              <w:rPr>
                <w:rStyle w:val="shorttext"/>
                <w:lang/>
              </w:rPr>
              <w:t xml:space="preserve"> or torsion (problem); </w:t>
            </w:r>
            <w:r w:rsidRPr="00626E29">
              <w:rPr>
                <w:rFonts w:ascii="Arial" w:hAnsi="Arial" w:cs="Arial"/>
              </w:rPr>
              <w:t>working conditions: mixed; percent of the final grade 25 %;</w:t>
            </w:r>
          </w:p>
          <w:p w:rsidR="00B81BF7" w:rsidRPr="00587166" w:rsidRDefault="00587166" w:rsidP="00587166">
            <w:pPr>
              <w:pStyle w:val="Listparagraf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587166">
              <w:rPr>
                <w:rFonts w:ascii="Arial" w:hAnsi="Arial" w:cs="Arial"/>
              </w:rPr>
              <w:t>Theoretical subject: hypothesis, reasonings, demonstrations</w:t>
            </w:r>
            <w:r>
              <w:rPr>
                <w:rFonts w:ascii="Arial" w:hAnsi="Arial" w:cs="Arial"/>
              </w:rPr>
              <w:t xml:space="preserve">; </w:t>
            </w:r>
            <w:r w:rsidRPr="00626E29">
              <w:rPr>
                <w:rFonts w:ascii="Arial" w:hAnsi="Arial" w:cs="Arial"/>
              </w:rPr>
              <w:t>working conditions: mixed; percent of the final grade 25 %</w:t>
            </w:r>
            <w:r>
              <w:rPr>
                <w:rFonts w:ascii="Arial" w:hAnsi="Arial" w:cs="Arial"/>
              </w:rPr>
              <w:t>.</w:t>
            </w:r>
            <w:r w:rsidR="00B81BF7" w:rsidRPr="005871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B81BF7" w:rsidRPr="008530DE">
        <w:trPr>
          <w:cantSplit/>
          <w:trHeight w:val="349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vAlign w:val="center"/>
          </w:tcPr>
          <w:p w:rsidR="00B81BF7" w:rsidRPr="008530DE" w:rsidRDefault="002F6FB3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6A8A">
              <w:rPr>
                <w:rFonts w:ascii="Arial" w:hAnsi="Arial" w:cs="Arial"/>
                <w:sz w:val="20"/>
              </w:rPr>
              <w:t>Prof.dr.ing. Barsanescu Paul-Doru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268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vAlign w:val="center"/>
          </w:tcPr>
          <w:p w:rsidR="002F6FB3" w:rsidRDefault="002F6FB3" w:rsidP="002F6FB3">
            <w:pPr>
              <w:pStyle w:val="Titlu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S.l. dr.ing. Leitoiu Bogdan</w:t>
            </w:r>
          </w:p>
          <w:p w:rsidR="00B81BF7" w:rsidRPr="008530DE" w:rsidRDefault="002F6FB3" w:rsidP="002F6FB3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6A8A">
              <w:rPr>
                <w:rFonts w:ascii="Arial" w:hAnsi="Arial" w:cs="Arial"/>
                <w:sz w:val="20"/>
              </w:rPr>
              <w:t>S.l.dr.ing. Dumitru Mih</w:t>
            </w:r>
            <w:r>
              <w:rPr>
                <w:rFonts w:ascii="Arial" w:hAnsi="Arial" w:cs="Arial"/>
                <w:sz w:val="20"/>
              </w:rPr>
              <w:t>ai, drd.ing. Ana Comanici (</w:t>
            </w:r>
            <w:r w:rsidRPr="004F6A8A">
              <w:rPr>
                <w:rFonts w:ascii="Arial" w:hAnsi="Arial" w:cs="Arial"/>
                <w:sz w:val="20"/>
              </w:rPr>
              <w:t>David)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F9E" w:rsidRDefault="00021F9E">
      <w:r>
        <w:separator/>
      </w:r>
    </w:p>
  </w:endnote>
  <w:endnote w:type="continuationSeparator" w:id="1">
    <w:p w:rsidR="00021F9E" w:rsidRDefault="00021F9E">
      <w:r>
        <w:continuationSeparator/>
      </w:r>
    </w:p>
  </w:endnote>
  <w:endnote w:id="2">
    <w:p w:rsidR="009E212D" w:rsidRPr="00DD6982" w:rsidRDefault="009E212D">
      <w:pPr>
        <w:pStyle w:val="Textnotdefinal"/>
      </w:pPr>
      <w:r>
        <w:rPr>
          <w:rStyle w:val="Referinnotdefinal"/>
        </w:rPr>
        <w:endnoteRef/>
      </w:r>
      <w:r w:rsidRPr="00DD6982">
        <w:t>Course name from the curriculum</w:t>
      </w:r>
    </w:p>
  </w:endnote>
  <w:endnote w:id="3">
    <w:p w:rsidR="00B81BF7" w:rsidRPr="00DD6982" w:rsidRDefault="00B81BF7" w:rsidP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4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5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6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7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8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According to 7.2 from  the Course guide – extended form</w:t>
      </w:r>
    </w:p>
  </w:endnote>
  <w:endnote w:id="9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Short description of the course, according to point 8 from the Course guide – extended form</w:t>
      </w:r>
    </w:p>
  </w:endnote>
  <w:endnote w:id="10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1">
    <w:p w:rsidR="00B81BF7" w:rsidRPr="00D86CF3" w:rsidRDefault="00B81BF7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2">
    <w:p w:rsidR="002F6FB3" w:rsidRPr="00AA2B73" w:rsidRDefault="002F6FB3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Subsol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F9E" w:rsidRDefault="00021F9E">
      <w:r>
        <w:separator/>
      </w:r>
    </w:p>
  </w:footnote>
  <w:footnote w:type="continuationSeparator" w:id="1">
    <w:p w:rsidR="00021F9E" w:rsidRDefault="00021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5A517E"/>
    <w:multiLevelType w:val="hybridMultilevel"/>
    <w:tmpl w:val="49ACB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21F9E"/>
    <w:rsid w:val="00091994"/>
    <w:rsid w:val="002F6FB3"/>
    <w:rsid w:val="00587166"/>
    <w:rsid w:val="00626E29"/>
    <w:rsid w:val="00634FA2"/>
    <w:rsid w:val="00653629"/>
    <w:rsid w:val="00721F5C"/>
    <w:rsid w:val="0073433E"/>
    <w:rsid w:val="00737A2E"/>
    <w:rsid w:val="009E212D"/>
    <w:rsid w:val="009F3589"/>
    <w:rsid w:val="00B0096D"/>
    <w:rsid w:val="00B81BF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Titlu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9F5982"/>
    <w:pPr>
      <w:jc w:val="center"/>
    </w:pPr>
    <w:rPr>
      <w:sz w:val="24"/>
    </w:rPr>
  </w:style>
  <w:style w:type="paragraph" w:styleId="Antet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Textnotdefinal">
    <w:name w:val="endnote text"/>
    <w:basedOn w:val="Normal"/>
    <w:semiHidden/>
    <w:rsid w:val="00615E28"/>
  </w:style>
  <w:style w:type="character" w:styleId="Referinnotdefinal">
    <w:name w:val="endnote reference"/>
    <w:semiHidden/>
    <w:rsid w:val="00615E28"/>
    <w:rPr>
      <w:vertAlign w:val="superscript"/>
    </w:rPr>
  </w:style>
  <w:style w:type="paragraph" w:styleId="Textnotdesubsol">
    <w:name w:val="footnote text"/>
    <w:basedOn w:val="Normal"/>
    <w:link w:val="TextnotdesubsolCaracter"/>
    <w:rsid w:val="004F06D2"/>
  </w:style>
  <w:style w:type="character" w:customStyle="1" w:styleId="TextnotdesubsolCaracter">
    <w:name w:val="Text notă de subsol Caracter"/>
    <w:basedOn w:val="Fontdeparagrafimplicit"/>
    <w:link w:val="Textnotdesubsol"/>
    <w:rsid w:val="004F06D2"/>
  </w:style>
  <w:style w:type="character" w:styleId="Referinnotdesubsol">
    <w:name w:val="footnote reference"/>
    <w:rsid w:val="004F06D2"/>
    <w:rPr>
      <w:vertAlign w:val="superscript"/>
    </w:rPr>
  </w:style>
  <w:style w:type="character" w:customStyle="1" w:styleId="hps">
    <w:name w:val="hps"/>
    <w:basedOn w:val="Fontdeparagrafimplicit"/>
    <w:rsid w:val="009E212D"/>
  </w:style>
  <w:style w:type="character" w:customStyle="1" w:styleId="alt-edited">
    <w:name w:val="alt-edited"/>
    <w:basedOn w:val="Fontdeparagrafimplicit"/>
    <w:rsid w:val="00091994"/>
  </w:style>
  <w:style w:type="character" w:customStyle="1" w:styleId="shorttext">
    <w:name w:val="short_text"/>
    <w:basedOn w:val="Fontdeparagrafimplicit"/>
    <w:rsid w:val="00653629"/>
  </w:style>
  <w:style w:type="paragraph" w:styleId="Listparagraf">
    <w:name w:val="List Paragraph"/>
    <w:basedOn w:val="Normal"/>
    <w:uiPriority w:val="72"/>
    <w:qFormat/>
    <w:rsid w:val="00626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TUIASI.POB.04-F2, rev.0</vt:lpstr>
      <vt:lpstr>TUIASI.POB.04-F2, rev.0</vt:lpstr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user</cp:lastModifiedBy>
  <cp:revision>4</cp:revision>
  <dcterms:created xsi:type="dcterms:W3CDTF">2015-04-24T13:01:00Z</dcterms:created>
  <dcterms:modified xsi:type="dcterms:W3CDTF">2015-04-24T13:13:00Z</dcterms:modified>
</cp:coreProperties>
</file>